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9D4" w:rsidRPr="00C809D4" w:rsidRDefault="00C809D4" w:rsidP="00C809D4">
      <w:pPr>
        <w:shd w:val="clear" w:color="auto" w:fill="FFFFFF"/>
        <w:spacing w:after="150" w:line="240" w:lineRule="auto"/>
        <w:jc w:val="center"/>
        <w:outlineLvl w:val="1"/>
        <w:rPr>
          <w:rFonts w:ascii="Arial" w:eastAsia="Times New Roman" w:hAnsi="Arial" w:cs="Arial"/>
          <w:b/>
          <w:bCs/>
          <w:color w:val="2E2E2E"/>
          <w:sz w:val="30"/>
          <w:szCs w:val="30"/>
          <w:lang w:eastAsia="tr-TR"/>
        </w:rPr>
      </w:pPr>
      <w:r w:rsidRPr="00C809D4">
        <w:rPr>
          <w:rFonts w:ascii="Arial" w:eastAsia="Times New Roman" w:hAnsi="Arial" w:cs="Arial"/>
          <w:b/>
          <w:bCs/>
          <w:color w:val="2E2E2E"/>
          <w:sz w:val="30"/>
          <w:szCs w:val="30"/>
          <w:lang w:eastAsia="tr-TR"/>
        </w:rPr>
        <w:t xml:space="preserve">27.05.2004) </w:t>
      </w:r>
      <w:proofErr w:type="gramStart"/>
      <w:r w:rsidRPr="00C809D4">
        <w:rPr>
          <w:rFonts w:ascii="Arial" w:eastAsia="Times New Roman" w:hAnsi="Arial" w:cs="Arial"/>
          <w:b/>
          <w:bCs/>
          <w:color w:val="2E2E2E"/>
          <w:sz w:val="30"/>
          <w:szCs w:val="30"/>
          <w:lang w:eastAsia="tr-TR"/>
        </w:rPr>
        <w:t>SM,SMMM</w:t>
      </w:r>
      <w:proofErr w:type="gramEnd"/>
      <w:r w:rsidRPr="00C809D4">
        <w:rPr>
          <w:rFonts w:ascii="Arial" w:eastAsia="Times New Roman" w:hAnsi="Arial" w:cs="Arial"/>
          <w:b/>
          <w:bCs/>
          <w:color w:val="2E2E2E"/>
          <w:sz w:val="30"/>
          <w:szCs w:val="30"/>
          <w:lang w:eastAsia="tr-TR"/>
        </w:rPr>
        <w:t>,YMM-1/2004-1/ Tasdik Raporu</w:t>
      </w:r>
    </w:p>
    <w:p w:rsidR="00C809D4" w:rsidRPr="00C809D4" w:rsidRDefault="00C809D4" w:rsidP="00C809D4">
      <w:pPr>
        <w:shd w:val="clear" w:color="auto" w:fill="FFFFFF"/>
        <w:spacing w:after="0" w:line="240" w:lineRule="auto"/>
        <w:jc w:val="center"/>
        <w:rPr>
          <w:rFonts w:ascii="Arial" w:eastAsia="Times New Roman" w:hAnsi="Arial" w:cs="Arial"/>
          <w:color w:val="2E2E2E"/>
          <w:sz w:val="21"/>
          <w:szCs w:val="21"/>
          <w:lang w:eastAsia="tr-TR"/>
        </w:rPr>
      </w:pPr>
      <w:r w:rsidRPr="00C809D4">
        <w:rPr>
          <w:rFonts w:ascii="Arial" w:eastAsia="Times New Roman" w:hAnsi="Arial" w:cs="Arial"/>
          <w:b/>
          <w:bCs/>
          <w:color w:val="2E2E2E"/>
          <w:sz w:val="21"/>
          <w:szCs w:val="21"/>
          <w:lang w:eastAsia="tr-TR"/>
        </w:rPr>
        <w:t>T.C.</w:t>
      </w:r>
      <w:r w:rsidRPr="00C809D4">
        <w:rPr>
          <w:rFonts w:ascii="Arial" w:eastAsia="Times New Roman" w:hAnsi="Arial" w:cs="Arial"/>
          <w:color w:val="2E2E2E"/>
          <w:sz w:val="21"/>
          <w:szCs w:val="21"/>
          <w:lang w:eastAsia="tr-TR"/>
        </w:rPr>
        <w:br/>
      </w:r>
      <w:bookmarkStart w:id="0" w:name="_GoBack"/>
      <w:bookmarkEnd w:id="0"/>
      <w:r w:rsidRPr="00C809D4">
        <w:rPr>
          <w:rFonts w:ascii="Arial" w:eastAsia="Times New Roman" w:hAnsi="Arial" w:cs="Arial"/>
          <w:b/>
          <w:bCs/>
          <w:color w:val="2E2E2E"/>
          <w:sz w:val="21"/>
          <w:szCs w:val="21"/>
          <w:lang w:eastAsia="tr-TR"/>
        </w:rPr>
        <w:t>MALİYE BAKANLIĞI</w:t>
      </w:r>
      <w:r w:rsidRPr="00C809D4">
        <w:rPr>
          <w:rFonts w:ascii="Arial" w:eastAsia="Times New Roman" w:hAnsi="Arial" w:cs="Arial"/>
          <w:color w:val="2E2E2E"/>
          <w:sz w:val="21"/>
          <w:szCs w:val="21"/>
          <w:lang w:eastAsia="tr-TR"/>
        </w:rPr>
        <w:br/>
      </w:r>
      <w:r w:rsidRPr="00C809D4">
        <w:rPr>
          <w:rFonts w:ascii="Arial" w:eastAsia="Times New Roman" w:hAnsi="Arial" w:cs="Arial"/>
          <w:b/>
          <w:bCs/>
          <w:color w:val="2E2E2E"/>
          <w:sz w:val="21"/>
          <w:szCs w:val="21"/>
          <w:lang w:eastAsia="tr-TR"/>
        </w:rPr>
        <w:t>Gelirler Genel Müdürlüğü</w:t>
      </w:r>
      <w:r w:rsidRPr="00C809D4">
        <w:rPr>
          <w:rFonts w:ascii="Arial" w:eastAsia="Times New Roman" w:hAnsi="Arial" w:cs="Arial"/>
          <w:color w:val="2E2E2E"/>
          <w:sz w:val="21"/>
          <w:szCs w:val="21"/>
          <w:lang w:eastAsia="tr-TR"/>
        </w:rPr>
        <w:br/>
      </w:r>
      <w:r w:rsidRPr="00C809D4">
        <w:rPr>
          <w:rFonts w:ascii="Arial" w:eastAsia="Times New Roman" w:hAnsi="Arial" w:cs="Arial"/>
          <w:color w:val="2E2E2E"/>
          <w:sz w:val="21"/>
          <w:szCs w:val="21"/>
          <w:lang w:eastAsia="tr-TR"/>
        </w:rPr>
        <w:br/>
      </w:r>
      <w:r w:rsidRPr="00C809D4">
        <w:rPr>
          <w:rFonts w:ascii="Arial" w:eastAsia="Times New Roman" w:hAnsi="Arial" w:cs="Arial"/>
          <w:b/>
          <w:bCs/>
          <w:color w:val="2E2E2E"/>
          <w:sz w:val="21"/>
          <w:szCs w:val="21"/>
          <w:lang w:eastAsia="tr-TR"/>
        </w:rPr>
        <w:t>Serbest Muhasebecilik, Serbest Muhasebeci Mali Müşavirlik Ve Yeminli Mali Müşavirlik Kanunu Sirküleri/1</w:t>
      </w:r>
    </w:p>
    <w:p w:rsidR="00C809D4" w:rsidRPr="00C809D4" w:rsidRDefault="00C809D4" w:rsidP="00C809D4">
      <w:pPr>
        <w:spacing w:after="0" w:line="240" w:lineRule="auto"/>
        <w:rPr>
          <w:rFonts w:ascii="Times New Roman" w:eastAsia="Times New Roman" w:hAnsi="Times New Roman" w:cs="Times New Roman"/>
          <w:sz w:val="24"/>
          <w:szCs w:val="24"/>
          <w:lang w:eastAsia="tr-TR"/>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152"/>
        <w:gridCol w:w="6920"/>
      </w:tblGrid>
      <w:tr w:rsidR="00C809D4" w:rsidRPr="00C809D4" w:rsidTr="00C809D4">
        <w:trPr>
          <w:tblCellSpacing w:w="0" w:type="dxa"/>
        </w:trPr>
        <w:tc>
          <w:tcPr>
            <w:tcW w:w="0" w:type="auto"/>
            <w:shd w:val="clear" w:color="auto" w:fill="FFFFFF"/>
            <w:hideMark/>
          </w:tcPr>
          <w:p w:rsidR="00C809D4" w:rsidRPr="00C809D4" w:rsidRDefault="00C809D4" w:rsidP="00C809D4">
            <w:pPr>
              <w:spacing w:after="0" w:line="240" w:lineRule="auto"/>
              <w:rPr>
                <w:rFonts w:ascii="Arial" w:eastAsia="Times New Roman" w:hAnsi="Arial" w:cs="Arial"/>
                <w:color w:val="2E2E2E"/>
                <w:sz w:val="21"/>
                <w:szCs w:val="21"/>
                <w:lang w:eastAsia="tr-TR"/>
              </w:rPr>
            </w:pPr>
            <w:r w:rsidRPr="00C809D4">
              <w:rPr>
                <w:rFonts w:ascii="Arial" w:eastAsia="Times New Roman" w:hAnsi="Arial" w:cs="Arial"/>
                <w:b/>
                <w:bCs/>
                <w:color w:val="2E2E2E"/>
                <w:sz w:val="21"/>
                <w:szCs w:val="21"/>
                <w:lang w:eastAsia="tr-TR"/>
              </w:rPr>
              <w:t>Konusu</w:t>
            </w:r>
          </w:p>
        </w:tc>
        <w:tc>
          <w:tcPr>
            <w:tcW w:w="0" w:type="auto"/>
            <w:shd w:val="clear" w:color="auto" w:fill="FFFFFF"/>
            <w:hideMark/>
          </w:tcPr>
          <w:p w:rsidR="00C809D4" w:rsidRPr="00C809D4" w:rsidRDefault="00C809D4" w:rsidP="00C809D4">
            <w:pPr>
              <w:spacing w:after="0" w:line="240" w:lineRule="auto"/>
              <w:rPr>
                <w:rFonts w:ascii="Arial" w:eastAsia="Times New Roman" w:hAnsi="Arial" w:cs="Arial"/>
                <w:color w:val="2E2E2E"/>
                <w:sz w:val="21"/>
                <w:szCs w:val="21"/>
                <w:lang w:eastAsia="tr-TR"/>
              </w:rPr>
            </w:pPr>
            <w:r w:rsidRPr="00C809D4">
              <w:rPr>
                <w:rFonts w:ascii="Arial" w:eastAsia="Times New Roman" w:hAnsi="Arial" w:cs="Arial"/>
                <w:b/>
                <w:bCs/>
                <w:color w:val="2E2E2E"/>
                <w:sz w:val="21"/>
                <w:szCs w:val="21"/>
                <w:lang w:eastAsia="tr-TR"/>
              </w:rPr>
              <w:t>:</w:t>
            </w:r>
            <w:r w:rsidRPr="00C809D4">
              <w:rPr>
                <w:rFonts w:ascii="Arial" w:eastAsia="Times New Roman" w:hAnsi="Arial" w:cs="Arial"/>
                <w:color w:val="2E2E2E"/>
                <w:sz w:val="21"/>
                <w:szCs w:val="21"/>
                <w:lang w:eastAsia="tr-TR"/>
              </w:rPr>
              <w:t>Yeminli Mali Müşavirlik Tasdik Raporlarının Verilme Süresi</w:t>
            </w:r>
          </w:p>
        </w:tc>
      </w:tr>
      <w:tr w:rsidR="00C809D4" w:rsidRPr="00C809D4" w:rsidTr="00C809D4">
        <w:trPr>
          <w:tblCellSpacing w:w="0" w:type="dxa"/>
        </w:trPr>
        <w:tc>
          <w:tcPr>
            <w:tcW w:w="0" w:type="auto"/>
            <w:shd w:val="clear" w:color="auto" w:fill="FFFFFF"/>
            <w:hideMark/>
          </w:tcPr>
          <w:p w:rsidR="00C809D4" w:rsidRPr="00C809D4" w:rsidRDefault="00C809D4" w:rsidP="00C809D4">
            <w:pPr>
              <w:spacing w:after="0" w:line="240" w:lineRule="auto"/>
              <w:rPr>
                <w:rFonts w:ascii="Arial" w:eastAsia="Times New Roman" w:hAnsi="Arial" w:cs="Arial"/>
                <w:color w:val="2E2E2E"/>
                <w:sz w:val="21"/>
                <w:szCs w:val="21"/>
                <w:lang w:eastAsia="tr-TR"/>
              </w:rPr>
            </w:pPr>
            <w:r w:rsidRPr="00C809D4">
              <w:rPr>
                <w:rFonts w:ascii="Arial" w:eastAsia="Times New Roman" w:hAnsi="Arial" w:cs="Arial"/>
                <w:b/>
                <w:bCs/>
                <w:color w:val="2E2E2E"/>
                <w:sz w:val="21"/>
                <w:szCs w:val="21"/>
                <w:lang w:eastAsia="tr-TR"/>
              </w:rPr>
              <w:t>Tarihi</w:t>
            </w:r>
          </w:p>
        </w:tc>
        <w:tc>
          <w:tcPr>
            <w:tcW w:w="0" w:type="auto"/>
            <w:shd w:val="clear" w:color="auto" w:fill="FFFFFF"/>
            <w:hideMark/>
          </w:tcPr>
          <w:p w:rsidR="00C809D4" w:rsidRPr="00C809D4" w:rsidRDefault="00C809D4" w:rsidP="00C809D4">
            <w:pPr>
              <w:spacing w:after="0" w:line="240" w:lineRule="auto"/>
              <w:rPr>
                <w:rFonts w:ascii="Arial" w:eastAsia="Times New Roman" w:hAnsi="Arial" w:cs="Arial"/>
                <w:color w:val="2E2E2E"/>
                <w:sz w:val="21"/>
                <w:szCs w:val="21"/>
                <w:lang w:eastAsia="tr-TR"/>
              </w:rPr>
            </w:pPr>
            <w:r w:rsidRPr="00C809D4">
              <w:rPr>
                <w:rFonts w:ascii="Arial" w:eastAsia="Times New Roman" w:hAnsi="Arial" w:cs="Arial"/>
                <w:b/>
                <w:bCs/>
                <w:color w:val="2E2E2E"/>
                <w:sz w:val="21"/>
                <w:szCs w:val="21"/>
                <w:lang w:eastAsia="tr-TR"/>
              </w:rPr>
              <w:t>:</w:t>
            </w:r>
            <w:r w:rsidRPr="00C809D4">
              <w:rPr>
                <w:rFonts w:ascii="Arial" w:eastAsia="Times New Roman" w:hAnsi="Arial" w:cs="Arial"/>
                <w:color w:val="2E2E2E"/>
                <w:sz w:val="21"/>
                <w:szCs w:val="21"/>
                <w:lang w:eastAsia="tr-TR"/>
              </w:rPr>
              <w:t>27.05.2004</w:t>
            </w:r>
          </w:p>
        </w:tc>
      </w:tr>
      <w:tr w:rsidR="00C809D4" w:rsidRPr="00C809D4" w:rsidTr="00C809D4">
        <w:trPr>
          <w:tblCellSpacing w:w="0" w:type="dxa"/>
        </w:trPr>
        <w:tc>
          <w:tcPr>
            <w:tcW w:w="0" w:type="auto"/>
            <w:shd w:val="clear" w:color="auto" w:fill="FFFFFF"/>
            <w:hideMark/>
          </w:tcPr>
          <w:p w:rsidR="00C809D4" w:rsidRPr="00C809D4" w:rsidRDefault="00C809D4" w:rsidP="00C809D4">
            <w:pPr>
              <w:spacing w:after="0" w:line="240" w:lineRule="auto"/>
              <w:rPr>
                <w:rFonts w:ascii="Arial" w:eastAsia="Times New Roman" w:hAnsi="Arial" w:cs="Arial"/>
                <w:color w:val="2E2E2E"/>
                <w:sz w:val="21"/>
                <w:szCs w:val="21"/>
                <w:lang w:eastAsia="tr-TR"/>
              </w:rPr>
            </w:pPr>
            <w:r w:rsidRPr="00C809D4">
              <w:rPr>
                <w:rFonts w:ascii="Arial" w:eastAsia="Times New Roman" w:hAnsi="Arial" w:cs="Arial"/>
                <w:b/>
                <w:bCs/>
                <w:color w:val="2E2E2E"/>
                <w:sz w:val="21"/>
                <w:szCs w:val="21"/>
                <w:lang w:eastAsia="tr-TR"/>
              </w:rPr>
              <w:t>Sayısı</w:t>
            </w:r>
          </w:p>
        </w:tc>
        <w:tc>
          <w:tcPr>
            <w:tcW w:w="0" w:type="auto"/>
            <w:shd w:val="clear" w:color="auto" w:fill="FFFFFF"/>
            <w:hideMark/>
          </w:tcPr>
          <w:p w:rsidR="00C809D4" w:rsidRPr="00C809D4" w:rsidRDefault="00C809D4" w:rsidP="00C809D4">
            <w:pPr>
              <w:spacing w:after="0" w:line="240" w:lineRule="auto"/>
              <w:rPr>
                <w:rFonts w:ascii="Arial" w:eastAsia="Times New Roman" w:hAnsi="Arial" w:cs="Arial"/>
                <w:color w:val="2E2E2E"/>
                <w:sz w:val="21"/>
                <w:szCs w:val="21"/>
                <w:lang w:eastAsia="tr-TR"/>
              </w:rPr>
            </w:pPr>
            <w:r w:rsidRPr="00C809D4">
              <w:rPr>
                <w:rFonts w:ascii="Arial" w:eastAsia="Times New Roman" w:hAnsi="Arial" w:cs="Arial"/>
                <w:b/>
                <w:bCs/>
                <w:color w:val="2E2E2E"/>
                <w:sz w:val="21"/>
                <w:szCs w:val="21"/>
                <w:lang w:eastAsia="tr-TR"/>
              </w:rPr>
              <w:t>:</w:t>
            </w:r>
            <w:proofErr w:type="gramStart"/>
            <w:r w:rsidRPr="00C809D4">
              <w:rPr>
                <w:rFonts w:ascii="Arial" w:eastAsia="Times New Roman" w:hAnsi="Arial" w:cs="Arial"/>
                <w:color w:val="2E2E2E"/>
                <w:sz w:val="21"/>
                <w:szCs w:val="21"/>
                <w:lang w:eastAsia="tr-TR"/>
              </w:rPr>
              <w:t>SM,SMMM</w:t>
            </w:r>
            <w:proofErr w:type="gramEnd"/>
            <w:r w:rsidRPr="00C809D4">
              <w:rPr>
                <w:rFonts w:ascii="Arial" w:eastAsia="Times New Roman" w:hAnsi="Arial" w:cs="Arial"/>
                <w:color w:val="2E2E2E"/>
                <w:sz w:val="21"/>
                <w:szCs w:val="21"/>
                <w:lang w:eastAsia="tr-TR"/>
              </w:rPr>
              <w:t>,YMM-1/2004-1/ Tasdik Raporu</w:t>
            </w:r>
          </w:p>
        </w:tc>
      </w:tr>
      <w:tr w:rsidR="00C809D4" w:rsidRPr="00C809D4" w:rsidTr="00C809D4">
        <w:trPr>
          <w:tblCellSpacing w:w="0" w:type="dxa"/>
        </w:trPr>
        <w:tc>
          <w:tcPr>
            <w:tcW w:w="0" w:type="auto"/>
            <w:shd w:val="clear" w:color="auto" w:fill="FFFFFF"/>
            <w:hideMark/>
          </w:tcPr>
          <w:p w:rsidR="00C809D4" w:rsidRPr="00C809D4" w:rsidRDefault="00C809D4" w:rsidP="00C809D4">
            <w:pPr>
              <w:spacing w:after="0" w:line="240" w:lineRule="auto"/>
              <w:rPr>
                <w:rFonts w:ascii="Arial" w:eastAsia="Times New Roman" w:hAnsi="Arial" w:cs="Arial"/>
                <w:color w:val="2E2E2E"/>
                <w:sz w:val="21"/>
                <w:szCs w:val="21"/>
                <w:lang w:eastAsia="tr-TR"/>
              </w:rPr>
            </w:pPr>
            <w:r w:rsidRPr="00C809D4">
              <w:rPr>
                <w:rFonts w:ascii="Arial" w:eastAsia="Times New Roman" w:hAnsi="Arial" w:cs="Arial"/>
                <w:color w:val="2E2E2E"/>
                <w:sz w:val="21"/>
                <w:szCs w:val="21"/>
                <w:lang w:eastAsia="tr-TR"/>
              </w:rPr>
              <w:t> </w:t>
            </w:r>
          </w:p>
        </w:tc>
        <w:tc>
          <w:tcPr>
            <w:tcW w:w="0" w:type="auto"/>
            <w:shd w:val="clear" w:color="auto" w:fill="FFFFFF"/>
            <w:hideMark/>
          </w:tcPr>
          <w:p w:rsidR="00C809D4" w:rsidRPr="00C809D4" w:rsidRDefault="00C809D4" w:rsidP="00C809D4">
            <w:pPr>
              <w:spacing w:after="0" w:line="240" w:lineRule="auto"/>
              <w:rPr>
                <w:rFonts w:ascii="Arial" w:eastAsia="Times New Roman" w:hAnsi="Arial" w:cs="Arial"/>
                <w:color w:val="2E2E2E"/>
                <w:sz w:val="21"/>
                <w:szCs w:val="21"/>
                <w:lang w:eastAsia="tr-TR"/>
              </w:rPr>
            </w:pPr>
            <w:r w:rsidRPr="00C809D4">
              <w:rPr>
                <w:rFonts w:ascii="Arial" w:eastAsia="Times New Roman" w:hAnsi="Arial" w:cs="Arial"/>
                <w:color w:val="2E2E2E"/>
                <w:sz w:val="21"/>
                <w:szCs w:val="21"/>
                <w:lang w:eastAsia="tr-TR"/>
              </w:rPr>
              <w:t> </w:t>
            </w:r>
          </w:p>
        </w:tc>
      </w:tr>
      <w:tr w:rsidR="00C809D4" w:rsidRPr="00C809D4" w:rsidTr="00C809D4">
        <w:trPr>
          <w:tblCellSpacing w:w="0" w:type="dxa"/>
        </w:trPr>
        <w:tc>
          <w:tcPr>
            <w:tcW w:w="0" w:type="auto"/>
            <w:shd w:val="clear" w:color="auto" w:fill="FFFFFF"/>
            <w:hideMark/>
          </w:tcPr>
          <w:p w:rsidR="00C809D4" w:rsidRPr="00C809D4" w:rsidRDefault="00C809D4" w:rsidP="00C809D4">
            <w:pPr>
              <w:spacing w:after="0" w:line="240" w:lineRule="auto"/>
              <w:rPr>
                <w:rFonts w:ascii="Arial" w:eastAsia="Times New Roman" w:hAnsi="Arial" w:cs="Arial"/>
                <w:color w:val="2E2E2E"/>
                <w:sz w:val="21"/>
                <w:szCs w:val="21"/>
                <w:lang w:eastAsia="tr-TR"/>
              </w:rPr>
            </w:pPr>
            <w:r w:rsidRPr="00C809D4">
              <w:rPr>
                <w:rFonts w:ascii="Arial" w:eastAsia="Times New Roman" w:hAnsi="Arial" w:cs="Arial"/>
                <w:b/>
                <w:bCs/>
                <w:color w:val="2E2E2E"/>
                <w:sz w:val="21"/>
                <w:szCs w:val="21"/>
                <w:lang w:eastAsia="tr-TR"/>
              </w:rPr>
              <w:t>İlgili olduğu maddeler</w:t>
            </w:r>
          </w:p>
        </w:tc>
        <w:tc>
          <w:tcPr>
            <w:tcW w:w="0" w:type="auto"/>
            <w:shd w:val="clear" w:color="auto" w:fill="FFFFFF"/>
            <w:hideMark/>
          </w:tcPr>
          <w:p w:rsidR="00C809D4" w:rsidRPr="00C809D4" w:rsidRDefault="00C809D4" w:rsidP="00C809D4">
            <w:pPr>
              <w:spacing w:after="0" w:line="240" w:lineRule="auto"/>
              <w:rPr>
                <w:rFonts w:ascii="Arial" w:eastAsia="Times New Roman" w:hAnsi="Arial" w:cs="Arial"/>
                <w:color w:val="2E2E2E"/>
                <w:sz w:val="21"/>
                <w:szCs w:val="21"/>
                <w:lang w:eastAsia="tr-TR"/>
              </w:rPr>
            </w:pPr>
            <w:r w:rsidRPr="00C809D4">
              <w:rPr>
                <w:rFonts w:ascii="Arial" w:eastAsia="Times New Roman" w:hAnsi="Arial" w:cs="Arial"/>
                <w:b/>
                <w:bCs/>
                <w:color w:val="2E2E2E"/>
                <w:sz w:val="21"/>
                <w:szCs w:val="21"/>
                <w:lang w:eastAsia="tr-TR"/>
              </w:rPr>
              <w:t>:</w:t>
            </w:r>
            <w:r w:rsidRPr="00C809D4">
              <w:rPr>
                <w:rFonts w:ascii="Arial" w:eastAsia="Times New Roman" w:hAnsi="Arial" w:cs="Arial"/>
                <w:color w:val="2E2E2E"/>
                <w:sz w:val="21"/>
                <w:szCs w:val="21"/>
                <w:lang w:eastAsia="tr-TR"/>
              </w:rPr>
              <w:t> SM, SMMM ve YMM Kanunu 12, Vergi Usul Kanunu mükerrer madde 227</w:t>
            </w:r>
          </w:p>
        </w:tc>
      </w:tr>
    </w:tbl>
    <w:p w:rsidR="00C809D4" w:rsidRPr="00C809D4" w:rsidRDefault="00C809D4" w:rsidP="00C809D4">
      <w:pPr>
        <w:shd w:val="clear" w:color="auto" w:fill="FFFFFF"/>
        <w:spacing w:after="0" w:line="360" w:lineRule="atLeast"/>
        <w:rPr>
          <w:rFonts w:ascii="Arial" w:eastAsia="Times New Roman" w:hAnsi="Arial" w:cs="Arial"/>
          <w:color w:val="2E2E2E"/>
          <w:sz w:val="21"/>
          <w:szCs w:val="21"/>
          <w:lang w:eastAsia="tr-TR"/>
        </w:rPr>
      </w:pPr>
      <w:r w:rsidRPr="00C809D4">
        <w:rPr>
          <w:rFonts w:ascii="Arial" w:eastAsia="Times New Roman" w:hAnsi="Arial" w:cs="Arial"/>
          <w:b/>
          <w:bCs/>
          <w:color w:val="2E2E2E"/>
          <w:sz w:val="21"/>
          <w:szCs w:val="21"/>
          <w:lang w:eastAsia="tr-TR"/>
        </w:rPr>
        <w:t xml:space="preserve">1- </w:t>
      </w:r>
      <w:proofErr w:type="gramStart"/>
      <w:r w:rsidRPr="00C809D4">
        <w:rPr>
          <w:rFonts w:ascii="Arial" w:eastAsia="Times New Roman" w:hAnsi="Arial" w:cs="Arial"/>
          <w:b/>
          <w:bCs/>
          <w:color w:val="2E2E2E"/>
          <w:sz w:val="21"/>
          <w:szCs w:val="21"/>
          <w:lang w:eastAsia="tr-TR"/>
        </w:rPr>
        <w:t>Giriş :</w:t>
      </w:r>
      <w:proofErr w:type="gramEnd"/>
    </w:p>
    <w:p w:rsidR="00C809D4" w:rsidRPr="00C809D4" w:rsidRDefault="00C809D4" w:rsidP="00C809D4">
      <w:pPr>
        <w:shd w:val="clear" w:color="auto" w:fill="FFFFFF"/>
        <w:spacing w:after="0" w:line="360" w:lineRule="atLeast"/>
        <w:jc w:val="both"/>
        <w:rPr>
          <w:rFonts w:ascii="Arial" w:eastAsia="Times New Roman" w:hAnsi="Arial" w:cs="Arial"/>
          <w:color w:val="2E2E2E"/>
          <w:sz w:val="21"/>
          <w:szCs w:val="21"/>
          <w:lang w:eastAsia="tr-TR"/>
        </w:rPr>
      </w:pPr>
      <w:r w:rsidRPr="00C809D4">
        <w:rPr>
          <w:rFonts w:ascii="Arial" w:eastAsia="Times New Roman" w:hAnsi="Arial" w:cs="Arial"/>
          <w:color w:val="2E2E2E"/>
          <w:sz w:val="21"/>
          <w:szCs w:val="21"/>
          <w:lang w:eastAsia="tr-TR"/>
        </w:rPr>
        <w:t>5035 sayılı Kanunla yapılan değişiklik ile Yıllık Gelir ve Kurumlar Vergisi Beyanname verme sürelerinin 15 gün öne çekilmesi dolayısıyla; Yeminli Mali Müşavirlik Tasdik Raporlarının veriliş süresiyle ilgili tereddütlerin meydana geldiği anlaşıldığından, konu ile ilgili olarak aşağıdaki açıklamaların ve düzenlemelerin yapılması gereği duyulmuştur.</w:t>
      </w:r>
    </w:p>
    <w:p w:rsidR="00C809D4" w:rsidRPr="00C809D4" w:rsidRDefault="00C809D4" w:rsidP="00C809D4">
      <w:pPr>
        <w:shd w:val="clear" w:color="auto" w:fill="FFFFFF"/>
        <w:spacing w:after="0" w:line="360" w:lineRule="atLeast"/>
        <w:jc w:val="both"/>
        <w:rPr>
          <w:rFonts w:ascii="Arial" w:eastAsia="Times New Roman" w:hAnsi="Arial" w:cs="Arial"/>
          <w:color w:val="2E2E2E"/>
          <w:sz w:val="21"/>
          <w:szCs w:val="21"/>
          <w:lang w:eastAsia="tr-TR"/>
        </w:rPr>
      </w:pPr>
      <w:proofErr w:type="gramStart"/>
      <w:r w:rsidRPr="00C809D4">
        <w:rPr>
          <w:rFonts w:ascii="Arial" w:eastAsia="Times New Roman" w:hAnsi="Arial" w:cs="Arial"/>
          <w:color w:val="2E2E2E"/>
          <w:sz w:val="21"/>
          <w:szCs w:val="21"/>
          <w:lang w:eastAsia="tr-TR"/>
        </w:rPr>
        <w:t>Bilindiği üzere, 24 Sıra No.lu Serbest Muhasebecilik, Serbest Muhasebeci Mali Müşavirlik ve Yeminli Mali Müşavirlik Kanunu Genel Tebliği’nde Tam Tasdik, Yeniden Değerleme, Kurumlar Vergisi İstisnası ve Yatırım İndirimi Tasdik Raporlarının Gelir ve Kurumlar Vergisi Beyanname verme dönemlerinin sonuna kadar ilgili vergi dairelerine teslim edilmesi gerektiği belirtilmekle birlikte; süre uzatımı yönünde Bakanlığımıza intikal eden talepler ve geçen uygulama süreci dikkate alınarak, tasdik raporlarının daha sağlıklı bir şekilde hazırlanabilmesini temin amacıyla, </w:t>
      </w:r>
      <w:r w:rsidRPr="00C809D4">
        <w:rPr>
          <w:rFonts w:ascii="Arial" w:eastAsia="Times New Roman" w:hAnsi="Arial" w:cs="Arial"/>
          <w:color w:val="2E2E2E"/>
          <w:sz w:val="21"/>
          <w:szCs w:val="21"/>
          <w:u w:val="single"/>
          <w:lang w:eastAsia="tr-TR"/>
        </w:rPr>
        <w:t>beyanname verme süresinin bitimini takip eden iki ay içerisinde</w:t>
      </w:r>
      <w:r w:rsidRPr="00C809D4">
        <w:rPr>
          <w:rFonts w:ascii="Arial" w:eastAsia="Times New Roman" w:hAnsi="Arial" w:cs="Arial"/>
          <w:color w:val="2E2E2E"/>
          <w:sz w:val="21"/>
          <w:szCs w:val="21"/>
          <w:lang w:eastAsia="tr-TR"/>
        </w:rPr>
        <w:t> yeminli mali müşavirlerce ilgili vergi dairelerine teslim edilebilmesi uygun görülmüştür.</w:t>
      </w:r>
      <w:proofErr w:type="gramEnd"/>
    </w:p>
    <w:p w:rsidR="00C809D4" w:rsidRPr="00C809D4" w:rsidRDefault="00C809D4" w:rsidP="00C809D4">
      <w:pPr>
        <w:shd w:val="clear" w:color="auto" w:fill="FFFFFF"/>
        <w:spacing w:after="0" w:line="360" w:lineRule="atLeast"/>
        <w:jc w:val="both"/>
        <w:rPr>
          <w:rFonts w:ascii="Arial" w:eastAsia="Times New Roman" w:hAnsi="Arial" w:cs="Arial"/>
          <w:color w:val="2E2E2E"/>
          <w:sz w:val="21"/>
          <w:szCs w:val="21"/>
          <w:lang w:eastAsia="tr-TR"/>
        </w:rPr>
      </w:pPr>
      <w:proofErr w:type="gramStart"/>
      <w:r w:rsidRPr="00C809D4">
        <w:rPr>
          <w:rFonts w:ascii="Arial" w:eastAsia="Times New Roman" w:hAnsi="Arial" w:cs="Arial"/>
          <w:color w:val="2E2E2E"/>
          <w:sz w:val="21"/>
          <w:szCs w:val="21"/>
          <w:lang w:eastAsia="tr-TR"/>
        </w:rPr>
        <w:t xml:space="preserve">35 Sıra No.lu Serbest Muhasebecilik, Serbest Muhasebeci Mali Müşavirlik ve Yeminli Mali Müşavirlik Kanunu Genel Tebliğinin “1/4. Tasdik Raporunun İbraz </w:t>
      </w:r>
      <w:proofErr w:type="spellStart"/>
      <w:r w:rsidRPr="00C809D4">
        <w:rPr>
          <w:rFonts w:ascii="Arial" w:eastAsia="Times New Roman" w:hAnsi="Arial" w:cs="Arial"/>
          <w:color w:val="2E2E2E"/>
          <w:sz w:val="21"/>
          <w:szCs w:val="21"/>
          <w:lang w:eastAsia="tr-TR"/>
        </w:rPr>
        <w:t>Süresiö</w:t>
      </w:r>
      <w:proofErr w:type="spellEnd"/>
      <w:r w:rsidRPr="00C809D4">
        <w:rPr>
          <w:rFonts w:ascii="Arial" w:eastAsia="Times New Roman" w:hAnsi="Arial" w:cs="Arial"/>
          <w:color w:val="2E2E2E"/>
          <w:sz w:val="21"/>
          <w:szCs w:val="21"/>
          <w:lang w:eastAsia="tr-TR"/>
        </w:rPr>
        <w:t xml:space="preserve"> başlıklı bölümünde ise, Yatırım İndirimi Tasdik Raporlarının ilgili yıl gelir veya kurumlar vergisi beyannameleri ile birlikte veya </w:t>
      </w:r>
      <w:r w:rsidRPr="00C809D4">
        <w:rPr>
          <w:rFonts w:ascii="Arial" w:eastAsia="Times New Roman" w:hAnsi="Arial" w:cs="Arial"/>
          <w:color w:val="2E2E2E"/>
          <w:sz w:val="21"/>
          <w:szCs w:val="21"/>
          <w:u w:val="single"/>
          <w:lang w:eastAsia="tr-TR"/>
        </w:rPr>
        <w:t>beyannamenin verildiği ayı takip eden iki ay</w:t>
      </w:r>
      <w:r w:rsidRPr="00C809D4">
        <w:rPr>
          <w:rFonts w:ascii="Arial" w:eastAsia="Times New Roman" w:hAnsi="Arial" w:cs="Arial"/>
          <w:color w:val="2E2E2E"/>
          <w:sz w:val="21"/>
          <w:szCs w:val="21"/>
          <w:lang w:eastAsia="tr-TR"/>
        </w:rPr>
        <w:t> içerisinde verilmesi gerektiği belirtilmiştir.</w:t>
      </w:r>
      <w:proofErr w:type="gramEnd"/>
    </w:p>
    <w:p w:rsidR="00C809D4" w:rsidRPr="00C809D4" w:rsidRDefault="00C809D4" w:rsidP="00C809D4">
      <w:pPr>
        <w:shd w:val="clear" w:color="auto" w:fill="FFFFFF"/>
        <w:spacing w:after="0" w:line="360" w:lineRule="atLeast"/>
        <w:jc w:val="both"/>
        <w:rPr>
          <w:rFonts w:ascii="Arial" w:eastAsia="Times New Roman" w:hAnsi="Arial" w:cs="Arial"/>
          <w:color w:val="2E2E2E"/>
          <w:sz w:val="21"/>
          <w:szCs w:val="21"/>
          <w:lang w:eastAsia="tr-TR"/>
        </w:rPr>
      </w:pPr>
      <w:proofErr w:type="gramStart"/>
      <w:r w:rsidRPr="00C809D4">
        <w:rPr>
          <w:rFonts w:ascii="Arial" w:eastAsia="Times New Roman" w:hAnsi="Arial" w:cs="Arial"/>
          <w:color w:val="2E2E2E"/>
          <w:sz w:val="21"/>
          <w:szCs w:val="21"/>
          <w:lang w:eastAsia="tr-TR"/>
        </w:rPr>
        <w:t xml:space="preserve">Bu düzenlemelere göre, Tam Tasdik, Yeniden Değerleme ve Kurumlar Vergisi İstisnası Tasdik Raporlarının gelir veya kurumlar vergisi beyannameleri ile birlikte veya en geç Gelir Vergisi mükellefleri için Mayıs ayının </w:t>
      </w:r>
      <w:proofErr w:type="spellStart"/>
      <w:r w:rsidRPr="00C809D4">
        <w:rPr>
          <w:rFonts w:ascii="Arial" w:eastAsia="Times New Roman" w:hAnsi="Arial" w:cs="Arial"/>
          <w:color w:val="2E2E2E"/>
          <w:sz w:val="21"/>
          <w:szCs w:val="21"/>
          <w:lang w:eastAsia="tr-TR"/>
        </w:rPr>
        <w:t>onbeşinci</w:t>
      </w:r>
      <w:proofErr w:type="spellEnd"/>
      <w:r w:rsidRPr="00C809D4">
        <w:rPr>
          <w:rFonts w:ascii="Arial" w:eastAsia="Times New Roman" w:hAnsi="Arial" w:cs="Arial"/>
          <w:color w:val="2E2E2E"/>
          <w:sz w:val="21"/>
          <w:szCs w:val="21"/>
          <w:lang w:eastAsia="tr-TR"/>
        </w:rPr>
        <w:t xml:space="preserve"> günü akşamına kadar, Kurumlar Vergisi mükellefleri için Haziran ayının </w:t>
      </w:r>
      <w:proofErr w:type="spellStart"/>
      <w:r w:rsidRPr="00C809D4">
        <w:rPr>
          <w:rFonts w:ascii="Arial" w:eastAsia="Times New Roman" w:hAnsi="Arial" w:cs="Arial"/>
          <w:color w:val="2E2E2E"/>
          <w:sz w:val="21"/>
          <w:szCs w:val="21"/>
          <w:lang w:eastAsia="tr-TR"/>
        </w:rPr>
        <w:t>onbeşinci</w:t>
      </w:r>
      <w:proofErr w:type="spellEnd"/>
      <w:r w:rsidRPr="00C809D4">
        <w:rPr>
          <w:rFonts w:ascii="Arial" w:eastAsia="Times New Roman" w:hAnsi="Arial" w:cs="Arial"/>
          <w:color w:val="2E2E2E"/>
          <w:sz w:val="21"/>
          <w:szCs w:val="21"/>
          <w:lang w:eastAsia="tr-TR"/>
        </w:rPr>
        <w:t xml:space="preserve"> günü akşamına kadar; Yatırım İndirimi İstisnası Tasdik Raporunun veya içerisinde yatırım indirimi istisnasının değerlendirildiği Tam Tasdik Raporunun ise, Gelir Vergisi mükellefleri için Mayıs ayı sonuna kadar, Kurumlar Vergisi mükellefleri için ise Haziran ayı sonuna kadar verilmesi gerekmektedir.</w:t>
      </w:r>
      <w:proofErr w:type="gramEnd"/>
    </w:p>
    <w:p w:rsidR="00C809D4" w:rsidRPr="00C809D4" w:rsidRDefault="00C809D4" w:rsidP="00C809D4">
      <w:pPr>
        <w:shd w:val="clear" w:color="auto" w:fill="FFFFFF"/>
        <w:spacing w:after="0" w:line="360" w:lineRule="atLeast"/>
        <w:jc w:val="both"/>
        <w:rPr>
          <w:rFonts w:ascii="Arial" w:eastAsia="Times New Roman" w:hAnsi="Arial" w:cs="Arial"/>
          <w:color w:val="2E2E2E"/>
          <w:sz w:val="21"/>
          <w:szCs w:val="21"/>
          <w:lang w:eastAsia="tr-TR"/>
        </w:rPr>
      </w:pPr>
      <w:r w:rsidRPr="00C809D4">
        <w:rPr>
          <w:rFonts w:ascii="Arial" w:eastAsia="Times New Roman" w:hAnsi="Arial" w:cs="Arial"/>
          <w:color w:val="2E2E2E"/>
          <w:sz w:val="21"/>
          <w:szCs w:val="21"/>
          <w:lang w:eastAsia="tr-TR"/>
        </w:rPr>
        <w:t>Bununla birlikte, 2004 yılında verilecek olan yukarıda belirtilen tüm Yeminli Müşavirlik Tasdik Raporlarının 2003 yılı gelir veya kurumlar vergisi beyannamelerinin </w:t>
      </w:r>
      <w:r w:rsidRPr="00C809D4">
        <w:rPr>
          <w:rFonts w:ascii="Arial" w:eastAsia="Times New Roman" w:hAnsi="Arial" w:cs="Arial"/>
          <w:color w:val="2E2E2E"/>
          <w:sz w:val="21"/>
          <w:szCs w:val="21"/>
          <w:u w:val="single"/>
          <w:lang w:eastAsia="tr-TR"/>
        </w:rPr>
        <w:t>verildiği ayı takip eden iki ay içerisinde</w:t>
      </w:r>
      <w:r w:rsidRPr="00C809D4">
        <w:rPr>
          <w:rFonts w:ascii="Arial" w:eastAsia="Times New Roman" w:hAnsi="Arial" w:cs="Arial"/>
          <w:color w:val="2E2E2E"/>
          <w:sz w:val="21"/>
          <w:szCs w:val="21"/>
          <w:lang w:eastAsia="tr-TR"/>
        </w:rPr>
        <w:t> verilebilmesi Bakanlığımızca uygun görülmüştür.</w:t>
      </w:r>
    </w:p>
    <w:p w:rsidR="00C809D4" w:rsidRPr="00C809D4" w:rsidRDefault="00C809D4" w:rsidP="00C809D4">
      <w:pPr>
        <w:shd w:val="clear" w:color="auto" w:fill="FFFFFF"/>
        <w:spacing w:after="0" w:line="360" w:lineRule="atLeast"/>
        <w:jc w:val="both"/>
        <w:rPr>
          <w:rFonts w:ascii="Arial" w:eastAsia="Times New Roman" w:hAnsi="Arial" w:cs="Arial"/>
          <w:color w:val="2E2E2E"/>
          <w:sz w:val="21"/>
          <w:szCs w:val="21"/>
          <w:lang w:eastAsia="tr-TR"/>
        </w:rPr>
      </w:pPr>
      <w:r w:rsidRPr="00C809D4">
        <w:rPr>
          <w:rFonts w:ascii="Arial" w:eastAsia="Times New Roman" w:hAnsi="Arial" w:cs="Arial"/>
          <w:color w:val="2E2E2E"/>
          <w:sz w:val="21"/>
          <w:szCs w:val="21"/>
          <w:lang w:eastAsia="tr-TR"/>
        </w:rPr>
        <w:lastRenderedPageBreak/>
        <w:t>Buna göre, Yeminli Mali Müşavirlerce 2003 yılına ilişkin olarak düzenlenecek olan söz konusu Tasdik Raporlarının; beyanname verme konusunda kendilerine süre verilip verilmediğine bakılmaksızın,</w:t>
      </w:r>
    </w:p>
    <w:p w:rsidR="00C809D4" w:rsidRPr="00C809D4" w:rsidRDefault="00C809D4" w:rsidP="00C809D4">
      <w:pPr>
        <w:shd w:val="clear" w:color="auto" w:fill="FFFFFF"/>
        <w:spacing w:after="0" w:line="360" w:lineRule="atLeast"/>
        <w:jc w:val="both"/>
        <w:rPr>
          <w:rFonts w:ascii="Arial" w:eastAsia="Times New Roman" w:hAnsi="Arial" w:cs="Arial"/>
          <w:color w:val="2E2E2E"/>
          <w:sz w:val="21"/>
          <w:szCs w:val="21"/>
          <w:lang w:eastAsia="tr-TR"/>
        </w:rPr>
      </w:pPr>
      <w:r w:rsidRPr="00C809D4">
        <w:rPr>
          <w:rFonts w:ascii="Arial" w:eastAsia="Times New Roman" w:hAnsi="Arial" w:cs="Arial"/>
          <w:color w:val="2E2E2E"/>
          <w:sz w:val="21"/>
          <w:szCs w:val="21"/>
          <w:lang w:eastAsia="tr-TR"/>
        </w:rPr>
        <w:t>· Gelir Vergisi mükellefleri için Mayıs ayı sonuna kadar,</w:t>
      </w:r>
    </w:p>
    <w:p w:rsidR="00C809D4" w:rsidRPr="00C809D4" w:rsidRDefault="00C809D4" w:rsidP="00C809D4">
      <w:pPr>
        <w:shd w:val="clear" w:color="auto" w:fill="FFFFFF"/>
        <w:spacing w:after="0" w:line="360" w:lineRule="atLeast"/>
        <w:jc w:val="both"/>
        <w:rPr>
          <w:rFonts w:ascii="Arial" w:eastAsia="Times New Roman" w:hAnsi="Arial" w:cs="Arial"/>
          <w:color w:val="2E2E2E"/>
          <w:sz w:val="21"/>
          <w:szCs w:val="21"/>
          <w:lang w:eastAsia="tr-TR"/>
        </w:rPr>
      </w:pPr>
      <w:r w:rsidRPr="00C809D4">
        <w:rPr>
          <w:rFonts w:ascii="Arial" w:eastAsia="Times New Roman" w:hAnsi="Arial" w:cs="Arial"/>
          <w:color w:val="2E2E2E"/>
          <w:sz w:val="21"/>
          <w:szCs w:val="21"/>
          <w:lang w:eastAsia="tr-TR"/>
        </w:rPr>
        <w:t>· Kurumlar Vergisi mükellefleri için ise Haziran ayı sonuna kadar</w:t>
      </w:r>
    </w:p>
    <w:p w:rsidR="00C809D4" w:rsidRPr="00C809D4" w:rsidRDefault="00C809D4" w:rsidP="00C809D4">
      <w:pPr>
        <w:shd w:val="clear" w:color="auto" w:fill="FFFFFF"/>
        <w:spacing w:after="0" w:line="360" w:lineRule="atLeast"/>
        <w:jc w:val="both"/>
        <w:rPr>
          <w:rFonts w:ascii="Arial" w:eastAsia="Times New Roman" w:hAnsi="Arial" w:cs="Arial"/>
          <w:color w:val="2E2E2E"/>
          <w:sz w:val="21"/>
          <w:szCs w:val="21"/>
          <w:lang w:eastAsia="tr-TR"/>
        </w:rPr>
      </w:pPr>
      <w:proofErr w:type="gramStart"/>
      <w:r w:rsidRPr="00C809D4">
        <w:rPr>
          <w:rFonts w:ascii="Arial" w:eastAsia="Times New Roman" w:hAnsi="Arial" w:cs="Arial"/>
          <w:color w:val="2E2E2E"/>
          <w:sz w:val="21"/>
          <w:szCs w:val="21"/>
          <w:lang w:eastAsia="tr-TR"/>
        </w:rPr>
        <w:t>ilgili</w:t>
      </w:r>
      <w:proofErr w:type="gramEnd"/>
      <w:r w:rsidRPr="00C809D4">
        <w:rPr>
          <w:rFonts w:ascii="Arial" w:eastAsia="Times New Roman" w:hAnsi="Arial" w:cs="Arial"/>
          <w:color w:val="2E2E2E"/>
          <w:sz w:val="21"/>
          <w:szCs w:val="21"/>
          <w:lang w:eastAsia="tr-TR"/>
        </w:rPr>
        <w:t xml:space="preserve"> vergi dairelerine verilmesi mümkün bulunmaktadır.</w:t>
      </w:r>
    </w:p>
    <w:p w:rsidR="00C809D4" w:rsidRPr="00C809D4" w:rsidRDefault="00C809D4" w:rsidP="00C809D4">
      <w:pPr>
        <w:shd w:val="clear" w:color="auto" w:fill="FFFFFF"/>
        <w:spacing w:after="0" w:line="360" w:lineRule="atLeast"/>
        <w:jc w:val="both"/>
        <w:rPr>
          <w:rFonts w:ascii="Arial" w:eastAsia="Times New Roman" w:hAnsi="Arial" w:cs="Arial"/>
          <w:color w:val="2E2E2E"/>
          <w:sz w:val="21"/>
          <w:szCs w:val="21"/>
          <w:lang w:eastAsia="tr-TR"/>
        </w:rPr>
      </w:pPr>
      <w:r w:rsidRPr="00C809D4">
        <w:rPr>
          <w:rFonts w:ascii="Arial" w:eastAsia="Times New Roman" w:hAnsi="Arial" w:cs="Arial"/>
          <w:color w:val="2E2E2E"/>
          <w:sz w:val="21"/>
          <w:szCs w:val="21"/>
          <w:lang w:eastAsia="tr-TR"/>
        </w:rPr>
        <w:t>Duyurulur.</w:t>
      </w:r>
    </w:p>
    <w:p w:rsidR="00C809D4" w:rsidRPr="00C809D4" w:rsidRDefault="00C809D4" w:rsidP="00C809D4">
      <w:pPr>
        <w:shd w:val="clear" w:color="auto" w:fill="FFFFFF"/>
        <w:spacing w:after="0" w:line="360" w:lineRule="atLeast"/>
        <w:rPr>
          <w:rFonts w:ascii="Arial" w:eastAsia="Times New Roman" w:hAnsi="Arial" w:cs="Arial"/>
          <w:color w:val="2E2E2E"/>
          <w:sz w:val="21"/>
          <w:szCs w:val="21"/>
          <w:lang w:eastAsia="tr-TR"/>
        </w:rPr>
      </w:pPr>
    </w:p>
    <w:tbl>
      <w:tblPr>
        <w:tblW w:w="2268" w:type="dxa"/>
        <w:tblCellSpacing w:w="0" w:type="dxa"/>
        <w:tblInd w:w="7451" w:type="dxa"/>
        <w:shd w:val="clear" w:color="auto" w:fill="FFFFFF"/>
        <w:tblCellMar>
          <w:left w:w="0" w:type="dxa"/>
          <w:right w:w="0" w:type="dxa"/>
        </w:tblCellMar>
        <w:tblLook w:val="04A0" w:firstRow="1" w:lastRow="0" w:firstColumn="1" w:lastColumn="0" w:noHBand="0" w:noVBand="1"/>
      </w:tblPr>
      <w:tblGrid>
        <w:gridCol w:w="2268"/>
      </w:tblGrid>
      <w:tr w:rsidR="00C809D4" w:rsidRPr="00C809D4" w:rsidTr="00C809D4">
        <w:trPr>
          <w:tblCellSpacing w:w="0" w:type="dxa"/>
        </w:trPr>
        <w:tc>
          <w:tcPr>
            <w:tcW w:w="2268" w:type="dxa"/>
            <w:shd w:val="clear" w:color="auto" w:fill="FFFFFF"/>
            <w:hideMark/>
          </w:tcPr>
          <w:p w:rsidR="00C809D4" w:rsidRPr="00C809D4" w:rsidRDefault="00C809D4" w:rsidP="00C809D4">
            <w:pPr>
              <w:spacing w:after="0" w:line="240" w:lineRule="auto"/>
              <w:rPr>
                <w:rFonts w:ascii="Arial" w:eastAsia="Times New Roman" w:hAnsi="Arial" w:cs="Arial"/>
                <w:color w:val="2E2E2E"/>
                <w:sz w:val="21"/>
                <w:szCs w:val="21"/>
                <w:lang w:eastAsia="tr-TR"/>
              </w:rPr>
            </w:pPr>
            <w:r w:rsidRPr="00C809D4">
              <w:rPr>
                <w:rFonts w:ascii="Arial" w:eastAsia="Times New Roman" w:hAnsi="Arial" w:cs="Arial"/>
                <w:color w:val="2E2E2E"/>
                <w:sz w:val="21"/>
                <w:szCs w:val="21"/>
                <w:lang w:eastAsia="tr-TR"/>
              </w:rPr>
              <w:t> </w:t>
            </w:r>
          </w:p>
        </w:tc>
      </w:tr>
      <w:tr w:rsidR="00C809D4" w:rsidRPr="00C809D4" w:rsidTr="00C809D4">
        <w:trPr>
          <w:tblCellSpacing w:w="0" w:type="dxa"/>
        </w:trPr>
        <w:tc>
          <w:tcPr>
            <w:tcW w:w="2268" w:type="dxa"/>
            <w:shd w:val="clear" w:color="auto" w:fill="FFFFFF"/>
            <w:hideMark/>
          </w:tcPr>
          <w:p w:rsidR="00C809D4" w:rsidRPr="00C809D4" w:rsidRDefault="00C809D4" w:rsidP="00C809D4">
            <w:pPr>
              <w:spacing w:after="0" w:line="240" w:lineRule="auto"/>
              <w:jc w:val="center"/>
              <w:rPr>
                <w:rFonts w:ascii="Arial" w:eastAsia="Times New Roman" w:hAnsi="Arial" w:cs="Arial"/>
                <w:color w:val="2E2E2E"/>
                <w:sz w:val="21"/>
                <w:szCs w:val="21"/>
                <w:lang w:eastAsia="tr-TR"/>
              </w:rPr>
            </w:pPr>
            <w:r w:rsidRPr="00C809D4">
              <w:rPr>
                <w:rFonts w:ascii="Arial" w:eastAsia="Times New Roman" w:hAnsi="Arial" w:cs="Arial"/>
                <w:b/>
                <w:bCs/>
                <w:color w:val="2E2E2E"/>
                <w:sz w:val="21"/>
                <w:szCs w:val="21"/>
                <w:lang w:eastAsia="tr-TR"/>
              </w:rPr>
              <w:t>Osman Arıoğlu</w:t>
            </w:r>
          </w:p>
        </w:tc>
      </w:tr>
      <w:tr w:rsidR="00C809D4" w:rsidRPr="00C809D4" w:rsidTr="00C809D4">
        <w:trPr>
          <w:tblCellSpacing w:w="0" w:type="dxa"/>
        </w:trPr>
        <w:tc>
          <w:tcPr>
            <w:tcW w:w="2268" w:type="dxa"/>
            <w:shd w:val="clear" w:color="auto" w:fill="FFFFFF"/>
            <w:hideMark/>
          </w:tcPr>
          <w:p w:rsidR="00C809D4" w:rsidRPr="00C809D4" w:rsidRDefault="00C809D4" w:rsidP="00C809D4">
            <w:pPr>
              <w:spacing w:after="0" w:line="240" w:lineRule="auto"/>
              <w:jc w:val="center"/>
              <w:rPr>
                <w:rFonts w:ascii="Arial" w:eastAsia="Times New Roman" w:hAnsi="Arial" w:cs="Arial"/>
                <w:color w:val="2E2E2E"/>
                <w:sz w:val="21"/>
                <w:szCs w:val="21"/>
                <w:lang w:eastAsia="tr-TR"/>
              </w:rPr>
            </w:pPr>
            <w:r w:rsidRPr="00C809D4">
              <w:rPr>
                <w:rFonts w:ascii="Arial" w:eastAsia="Times New Roman" w:hAnsi="Arial" w:cs="Arial"/>
                <w:b/>
                <w:bCs/>
                <w:color w:val="2E2E2E"/>
                <w:sz w:val="21"/>
                <w:szCs w:val="21"/>
                <w:lang w:eastAsia="tr-TR"/>
              </w:rPr>
              <w:t>Bakan a.</w:t>
            </w:r>
            <w:r w:rsidRPr="00C809D4">
              <w:rPr>
                <w:rFonts w:ascii="Arial" w:eastAsia="Times New Roman" w:hAnsi="Arial" w:cs="Arial"/>
                <w:b/>
                <w:bCs/>
                <w:color w:val="2E2E2E"/>
                <w:sz w:val="21"/>
                <w:szCs w:val="21"/>
                <w:lang w:eastAsia="tr-TR"/>
              </w:rPr>
              <w:br/>
              <w:t>Gelirler Genel Müdürü</w:t>
            </w:r>
          </w:p>
        </w:tc>
      </w:tr>
    </w:tbl>
    <w:p w:rsidR="00F85085" w:rsidRDefault="00F85085"/>
    <w:sectPr w:rsidR="00F850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9D4"/>
    <w:rsid w:val="00C809D4"/>
    <w:rsid w:val="00F850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C809D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809D4"/>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C809D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809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C809D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809D4"/>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C809D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809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1599">
      <w:bodyDiv w:val="1"/>
      <w:marLeft w:val="0"/>
      <w:marRight w:val="0"/>
      <w:marTop w:val="0"/>
      <w:marBottom w:val="0"/>
      <w:divBdr>
        <w:top w:val="none" w:sz="0" w:space="0" w:color="auto"/>
        <w:left w:val="none" w:sz="0" w:space="0" w:color="auto"/>
        <w:bottom w:val="none" w:sz="0" w:space="0" w:color="auto"/>
        <w:right w:val="none" w:sz="0" w:space="0" w:color="auto"/>
      </w:divBdr>
      <w:divsChild>
        <w:div w:id="532380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2714</Characters>
  <Application>Microsoft Office Word</Application>
  <DocSecurity>0</DocSecurity>
  <Lines>22</Lines>
  <Paragraphs>6</Paragraphs>
  <ScaleCrop>false</ScaleCrop>
  <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OMEN</dc:creator>
  <cp:lastModifiedBy>HP OMEN</cp:lastModifiedBy>
  <cp:revision>1</cp:revision>
  <dcterms:created xsi:type="dcterms:W3CDTF">2021-06-28T12:55:00Z</dcterms:created>
  <dcterms:modified xsi:type="dcterms:W3CDTF">2021-06-28T12:56:00Z</dcterms:modified>
</cp:coreProperties>
</file>